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comments.xml" ContentType="application/vnd.openxmlformats-officedocument.wordprocessingml.comments+xml"/>
  <Override PartName="/word/theme/theme1.xml" ContentType="application/vnd.openxmlformats-officedocument.theme+xml"/>
  <Override PartName="/word/commentsExtended.xml" ContentType="application/vnd.openxmlformats-officedocument.wordprocessingml.commentsExtended+xml"/>
  <Override PartName="/word/endnotes.xml" ContentType="application/vnd.openxmlformats-officedocument.wordprocessingml.endnote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>
      <w:pPr>
        <w:pBdr/>
        <w:pStyle w:val="Heading 2"/>
        <w:spacing w:beforeAutospacing="true" w:afterAutospacing="true"/>
        <w:ind/>
        <w:jc w:val="center"/>
        <w:rPr>
          <w:rFonts w:eastAsia="Times new roman"/>
          <w:b/>
          <w:bCs/>
        </w:rPr>
      </w:pPr>
      <w:bookmarkStart w:name="_Toc000000001" w:id="0"/>
      <w:bookmarkStart w:name="detailed_room_rental_agreement_template_usauk_comp" w:id="1"/>
      <w:r>
        <w:rPr>
          <w:rFonts w:eastAsia="Times new roman"/>
          <w:b/>
          <w:bCs/>
          <w:sz w:val="32"/>
        </w:rPr>
        <w:t xml:space="preserve">Room Rental Agreement Template</w:t>
      </w:r>
      <w:bookmarkEnd w:id="1"/>
      <w:bookmarkEnd w:id="0"/>
    </w:p>
    <w:p>
      <w:pPr>
        <w:pBdr/>
        <w:pStyle w:val="Normal (Web)"/>
        <w:spacing/>
        <w:ind/>
        <w:rPr/>
      </w:pPr>
      <w:r>
        <w:rPr>
          <w:b/>
          <w:bCs/>
        </w:rPr>
        <w:t xml:space="preserve">ROOM RENTAL AGREEMENT</w:t>
      </w:r>
    </w:p>
    <w:p>
      <w:pPr>
        <w:pBdr/>
        <w:pStyle w:val="Normal (Web)"/>
        <w:spacing/>
        <w:ind/>
        <w:rPr/>
      </w:pPr>
      <w:r>
        <w:rPr>
          <w:b/>
          <w:bCs/>
        </w:rPr>
        <w:t xml:space="preserve">Date:</w:t>
      </w:r>
      <w:r>
        <w:rPr/>
        <w:t xml:space="preserve"> [Insert Date]</w:t>
      </w:r>
    </w:p>
    <w:p>
      <w:pPr>
        <w:pBdr/>
        <w:pStyle w:val="Normal (Web)"/>
        <w:spacing/>
        <w:ind/>
        <w:rPr/>
      </w:pPr>
      <w:r>
        <w:rPr>
          <w:b/>
          <w:bCs/>
        </w:rPr>
        <w:t xml:space="preserve">Parties:</w:t>
      </w:r>
      <w:r>
        <w:rPr/>
        <w:br/>
      </w:r>
      <w:r>
        <w:rPr>
          <w:b/>
          <w:bCs/>
        </w:rPr>
        <w:t xml:space="preserve">Landlord/Primary Tenant</w:t>
      </w:r>
      <w:r>
        <w:rPr/>
        <w:t xml:space="preserve"> (hereinafter "Landlord"):</w:t>
      </w:r>
      <w:r>
        <w:rPr/>
        <w:br/>
      </w:r>
      <w:r>
        <w:rPr/>
        <w:t xml:space="preserve">[Full Name]</w:t>
      </w:r>
      <w:r>
        <w:rPr/>
        <w:br/>
      </w:r>
      <w:r>
        <w:rPr/>
        <w:t xml:space="preserve">[Full Address, City, State/Province, ZIP/Postal Code, Country]</w:t>
      </w:r>
      <w:r>
        <w:rPr/>
        <w:br/>
      </w:r>
      <w:r>
        <w:rPr/>
        <w:t xml:space="preserve">Email: [Email] | Phone: [Number]</w:t>
      </w:r>
    </w:p>
    <w:p>
      <w:pPr>
        <w:pBdr/>
        <w:pStyle w:val="Normal (Web)"/>
        <w:spacing/>
        <w:ind/>
        <w:rPr/>
      </w:pPr>
      <w:r>
        <w:rPr>
          <w:b/>
          <w:bCs/>
        </w:rPr>
        <w:t xml:space="preserve">Renter/Tenant</w:t>
      </w:r>
      <w:r>
        <w:rPr/>
        <w:t xml:space="preserve"> (hereinafter "Tenant"):</w:t>
      </w:r>
      <w:r>
        <w:rPr/>
        <w:br/>
      </w:r>
      <w:r>
        <w:rPr/>
        <w:t xml:space="preserve">[Full Name]</w:t>
      </w:r>
      <w:r>
        <w:rPr/>
        <w:br/>
      </w:r>
      <w:r>
        <w:rPr/>
        <w:t xml:space="preserve">[Email] | Phone: [Number]</w:t>
      </w:r>
    </w:p>
    <w:p>
      <w:pPr>
        <w:pBdr/>
        <w:pStyle w:val="Normal (Web)"/>
        <w:spacing/>
        <w:ind/>
        <w:rPr/>
      </w:pPr>
      <w:r>
        <w:rPr/>
        <w:t xml:space="preserve">The Landlord rents to the Tenant the private room described below at the Property: [Full Property Address]. Room: [e.g., "Second-floor bedroom, 12x14 ft, with shared hall bathroom"]. Shared areas: [List: kitchen, living room, laundry, garden/backyard]. Furnishings included: [List or "None"].</w:t>
      </w:r>
    </w:p>
    <w:p>
      <w:pPr>
        <w:pBdr/>
        <w:pStyle w:val="Heading 2"/>
        <w:spacing w:beforeAutospacing="true" w:afterAutospacing="true"/>
        <w:ind/>
        <w:rPr>
          <w:rFonts w:eastAsia="Times new roman"/>
          <w:b/>
          <w:bCs/>
        </w:rPr>
      </w:pPr>
      <w:bookmarkStart w:name="_Toc000000002" w:id="2"/>
      <w:bookmarkStart w:name="1_term_of_tenancy" w:id="3"/>
      <w:r>
        <w:rPr>
          <w:rFonts w:eastAsia="Times new roman"/>
          <w:b/>
          <w:bCs/>
        </w:rPr>
        <w:t xml:space="preserve">1. Term of Tenancy</w:t>
      </w:r>
      <w:bookmarkEnd w:id="3"/>
      <w:bookmarkEnd w:id="2"/>
    </w:p>
    <w:p>
      <w:pPr>
        <w:pBdr/>
        <w:pStyle w:val="Normal (Web)"/>
        <w:numPr>
          <w:ilvl w:val="0"/>
          <w:numId w:val="1"/>
        </w:numPr>
        <w:spacing/>
        <w:ind w:left="720"/>
        <w:rPr/>
      </w:pPr>
      <w:r>
        <w:rPr/>
        <w:t xml:space="preserve">Commencement Date: [Date]</w:t>
      </w:r>
    </w:p>
    <w:p>
      <w:pPr>
        <w:pBdr/>
        <w:pStyle w:val="Normal (Web)"/>
        <w:numPr>
          <w:ilvl w:val="0"/>
          <w:numId w:val="1"/>
        </w:numPr>
        <w:spacing/>
        <w:ind w:left="720"/>
        <w:rPr/>
      </w:pPr>
      <w:r>
        <w:rPr/>
        <w:t xml:space="preserve">☐ Fixed Term: Ends [Date] (automatic renewal requires written agreement).</w:t>
      </w:r>
    </w:p>
    <w:p>
      <w:pPr>
        <w:pBdr/>
        <w:pStyle w:val="Normal (Web)"/>
        <w:numPr>
          <w:ilvl w:val="0"/>
          <w:numId w:val="1"/>
        </w:numPr>
        <w:spacing/>
        <w:ind w:left="720"/>
        <w:rPr/>
      </w:pPr>
      <w:r>
        <w:rPr/>
        <w:t xml:space="preserve">☐ Periodic (Month-to-Month): Terminable with [30/60] days' written notice.</w:t>
      </w:r>
    </w:p>
    <w:p>
      <w:pPr>
        <w:pBdr/>
        <w:pStyle w:val="Normal (Web)"/>
        <w:numPr>
          <w:ilvl w:val="0"/>
          <w:numId w:val="1"/>
        </w:numPr>
        <w:spacing/>
        <w:ind w:left="720"/>
        <w:rPr/>
      </w:pPr>
      <w:r>
        <w:rPr/>
        <w:t xml:space="preserve">Early termination fee: [Amount or "None"].</w:t>
      </w:r>
    </w:p>
    <w:p>
      <w:pPr>
        <w:pBdr/>
        <w:pStyle w:val="Heading 2"/>
        <w:spacing w:beforeAutospacing="true" w:afterAutospacing="true"/>
        <w:ind/>
        <w:rPr>
          <w:rFonts w:eastAsia="Times new roman"/>
          <w:b/>
          <w:bCs/>
        </w:rPr>
      </w:pPr>
      <w:bookmarkStart w:name="_Toc000000003" w:id="4"/>
      <w:bookmarkStart w:name="2_rent_and_payments" w:id="5"/>
      <w:r>
        <w:rPr>
          <w:rFonts w:eastAsia="Times new roman"/>
          <w:b/>
          <w:bCs/>
        </w:rPr>
        <w:t xml:space="preserve">2. Rent and Payments</w:t>
      </w:r>
      <w:bookmarkEnd w:id="5"/>
      <w:bookmarkEnd w:id="4"/>
    </w:p>
    <w:p>
      <w:pPr>
        <w:pBdr/>
        <w:pStyle w:val="Normal (Web)"/>
        <w:numPr>
          <w:ilvl w:val="0"/>
          <w:numId w:val="2"/>
        </w:numPr>
        <w:spacing/>
        <w:ind w:left="720"/>
        <w:rPr/>
      </w:pPr>
      <w:r>
        <w:rPr/>
        <w:t xml:space="preserve">Monthly Rent: [Currency/Amount, e.g., $1,200 USD or £900 GBP]</w:t>
      </w:r>
    </w:p>
    <w:p>
      <w:pPr>
        <w:pBdr/>
        <w:pStyle w:val="Normal (Web)"/>
        <w:numPr>
          <w:ilvl w:val="0"/>
          <w:numId w:val="2"/>
        </w:numPr>
        <w:spacing/>
        <w:ind w:left="720"/>
        <w:rPr/>
      </w:pPr>
      <w:r>
        <w:rPr/>
        <w:t xml:space="preserve">Due: [e.g., 1st of month] by [method: bank transfer, check, etc.].</w:t>
      </w:r>
    </w:p>
    <w:p>
      <w:pPr>
        <w:pBdr/>
        <w:pStyle w:val="Normal (Web)"/>
        <w:numPr>
          <w:ilvl w:val="0"/>
          <w:numId w:val="2"/>
        </w:numPr>
        <w:spacing/>
        <w:ind w:left="720"/>
        <w:rPr/>
      </w:pPr>
      <w:r>
        <w:rPr/>
        <w:t xml:space="preserve">Grace Period: [e.g., 5 days].</w:t>
      </w:r>
    </w:p>
    <w:p>
      <w:pPr>
        <w:pBdr/>
        <w:pStyle w:val="Normal (Web)"/>
        <w:numPr>
          <w:ilvl w:val="0"/>
          <w:numId w:val="2"/>
        </w:numPr>
        <w:spacing/>
        <w:ind w:left="720"/>
        <w:rPr/>
      </w:pPr>
      <w:r>
        <w:rPr/>
        <w:t xml:space="preserve">Late Fee: [Amount, e.g., 5% of rent or fixed £50].</w:t>
      </w:r>
    </w:p>
    <w:p>
      <w:pPr>
        <w:pBdr/>
        <w:pStyle w:val="Normal (Web)"/>
        <w:numPr>
          <w:ilvl w:val="0"/>
          <w:numId w:val="2"/>
        </w:numPr>
        <w:spacing/>
        <w:ind w:left="720"/>
        <w:rPr/>
      </w:pPr>
      <w:r>
        <w:rPr/>
        <w:t xml:space="preserve">NSF Fee: [Amount for bounced payments].</w:t>
      </w:r>
    </w:p>
    <w:p>
      <w:pPr>
        <w:pBdr/>
        <w:pStyle w:val="Normal (Web)"/>
        <w:numPr>
          <w:ilvl w:val="0"/>
          <w:numId w:val="2"/>
        </w:numPr>
        <w:spacing/>
        <w:ind w:left="720"/>
        <w:rPr/>
      </w:pPr>
      <w:r>
        <w:rPr/>
        <w:t xml:space="preserve">Rent increases: [e.g., 30 days' notice, max 5% annually (UK model)].</w:t>
      </w:r>
    </w:p>
    <w:p>
      <w:pPr>
        <w:pBdr/>
        <w:pStyle w:val="Heading 2"/>
        <w:spacing w:beforeAutospacing="true" w:afterAutospacing="true"/>
        <w:ind/>
        <w:rPr>
          <w:rFonts w:eastAsia="Times new roman"/>
          <w:b/>
          <w:bCs/>
        </w:rPr>
      </w:pPr>
      <w:bookmarkStart w:name="_Toc000000004" w:id="6"/>
      <w:bookmarkStart w:name="3_security_deposit" w:id="7"/>
      <w:r>
        <w:rPr>
          <w:rFonts w:eastAsia="Times new roman"/>
          <w:b/>
          <w:bCs/>
        </w:rPr>
        <w:t xml:space="preserve">3. Security Deposit</w:t>
      </w:r>
      <w:bookmarkEnd w:id="7"/>
      <w:bookmarkEnd w:id="6"/>
    </w:p>
    <w:p>
      <w:pPr>
        <w:pBdr/>
        <w:pStyle w:val="Normal (Web)"/>
        <w:numPr>
          <w:ilvl w:val="0"/>
          <w:numId w:val="3"/>
        </w:numPr>
        <w:spacing/>
        <w:ind w:left="720"/>
        <w:rPr/>
      </w:pPr>
      <w:r>
        <w:rPr/>
        <w:t xml:space="preserve">Amount: [e.g., one month's rent].</w:t>
      </w:r>
    </w:p>
    <w:p>
      <w:pPr>
        <w:pBdr/>
        <w:pStyle w:val="Normal (Web)"/>
        <w:numPr>
          <w:ilvl w:val="0"/>
          <w:numId w:val="3"/>
        </w:numPr>
        <w:spacing/>
        <w:ind w:left="720"/>
        <w:rPr/>
      </w:pPr>
      <w:r>
        <w:rPr/>
        <w:t xml:space="preserve">Held by: [Landlord or UK deposit scheme like DPS].</w:t>
      </w:r>
    </w:p>
    <w:p>
      <w:pPr>
        <w:pBdr/>
        <w:pStyle w:val="Normal (Web)"/>
        <w:numPr>
          <w:ilvl w:val="0"/>
          <w:numId w:val="3"/>
        </w:numPr>
        <w:spacing/>
        <w:ind w:left="720"/>
        <w:rPr/>
      </w:pPr>
      <w:r>
        <w:rPr/>
        <w:t xml:space="preserve">Refund: Within [14/21/30] days of move-out, less deductions for damages, cleaning, unpaid rent/utilities.</w:t>
      </w:r>
    </w:p>
    <w:p>
      <w:pPr>
        <w:pBdr/>
        <w:pStyle w:val="Normal (Web)"/>
        <w:numPr>
          <w:ilvl w:val="0"/>
          <w:numId w:val="3"/>
        </w:numPr>
        <w:spacing/>
        <w:ind w:left="720"/>
        <w:rPr/>
      </w:pPr>
      <w:r>
        <w:rPr/>
        <w:t xml:space="preserve">Inspection: Joint walkthrough at end of tenancy; itemized deductions provided.</w:t>
      </w:r>
      <w:r>
        <w:rPr/>
        <w:br/>
      </w:r>
    </w:p>
    <w:p>
      <w:pPr>
        <w:pBdr/>
        <w:pStyle w:val="Normal (Web)"/>
        <w:numPr>
          <w:ilvl w:val="0"/>
          <w:numId w:val="0"/>
        </w:numPr>
        <w:spacing/>
        <w:ind w:left="720"/>
        <w:rPr/>
      </w:pPr>
    </w:p>
    <w:p>
      <w:pPr>
        <w:pBdr/>
        <w:pStyle w:val="Normal (Web)"/>
        <w:numPr>
          <w:ilvl w:val="0"/>
          <w:numId w:val="0"/>
        </w:numPr>
        <w:spacing/>
        <w:ind w:left="720"/>
        <w:rPr/>
      </w:pPr>
    </w:p>
    <w:p>
      <w:pPr>
        <w:pBdr/>
        <w:pStyle w:val="Heading 2"/>
        <w:spacing w:beforeAutospacing="true" w:afterAutospacing="true"/>
        <w:ind/>
        <w:rPr>
          <w:rFonts w:eastAsia="Times new roman"/>
          <w:b/>
          <w:bCs/>
        </w:rPr>
      </w:pPr>
      <w:bookmarkStart w:name="_Toc000000005" w:id="8"/>
      <w:bookmarkStart w:name="4_utilities_and_shared_expenses" w:id="9"/>
      <w:r>
        <w:rPr>
          <w:rFonts w:eastAsia="Times new roman"/>
          <w:b/>
          <w:bCs/>
        </w:rPr>
        <w:t xml:space="preserve">4. Utilities and Shared Expenses</w:t>
      </w:r>
      <w:bookmarkEnd w:id="9"/>
      <w:bookmarkEnd w:id="8"/>
    </w:p>
    <w:tbl>
      <w:tblPr>
        <w:tblW w:w="0" w:type="auto"/>
        <w:jc w:val="left"/>
        <w:tblCellSpacing w:w="14" w:type="dxa"/>
        <w:tblInd w:w="0" w:type="dxa"/>
        <w:tblCellMar>
          <w:top w:w="17" w:type="dxa"/>
          <w:left w:w="17" w:type="dxa"/>
          <w:bottom w:w="17" w:type="dxa"/>
          <w:right w:w="17" w:type="dxa"/>
        </w:tblCellMar>
        <w:tblBorders/>
        <w:shd w:fill="auto" w:color="auto"/>
      </w:tblPr>
      <w:tblGrid>
        <w:gridCol w:w="2268"/>
        <w:gridCol w:w="2889"/>
        <w:gridCol w:w="2189"/>
      </w:tblGrid>
      <w:tr>
        <w:tblPrEx>
          <w:tblBorders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hRule="atLeast" w:val="20"/>
          <w:tblHeader/>
        </w:trPr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Utility/Expense</w:t>
            </w: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Paid By</w:t>
            </w: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Split Method/Details</w:t>
            </w:r>
          </w:p>
        </w:tc>
      </w:tr>
      <w:tr>
        <w:tblPrEx>
          <w:tblBorders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hRule="atLeast" w:val="20"/>
        </w:trPr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/>
            </w:pPr>
            <w:r>
              <w:rPr/>
              <w:t xml:space="preserve">Electricity</w:t>
            </w: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/>
            </w:pPr>
            <w:r>
              <w:rPr/>
              <w:t xml:space="preserve">☐ Landlord ☐ Tenant ☐ Shared</w:t>
            </w: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/>
            </w:pPr>
            <w:r>
              <w:rPr/>
              <w:t xml:space="preserve">[e.g., Equal or metered]</w:t>
            </w:r>
          </w:p>
        </w:tc>
      </w:tr>
      <w:tr>
        <w:tblPrEx>
          <w:tblBorders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hRule="atLeast" w:val="20"/>
        </w:trPr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/>
            </w:pPr>
            <w:r>
              <w:rPr/>
              <w:t xml:space="preserve">Water/Sewer</w:t>
            </w: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/>
            </w:pPr>
            <w:r>
              <w:rPr/>
              <w:t xml:space="preserve">☐ Landlord ☐ Tenant ☐ Shared</w:t>
            </w: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/>
            </w:pPr>
          </w:p>
        </w:tc>
      </w:tr>
      <w:tr>
        <w:tblPrEx>
          <w:tblBorders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hRule="atLeast" w:val="20"/>
        </w:trPr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/>
            </w:pPr>
            <w:r>
              <w:rPr/>
              <w:t xml:space="preserve">Gas/Heating</w:t>
            </w: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/>
            </w:pPr>
            <w:r>
              <w:rPr/>
              <w:t xml:space="preserve">☐ Landlord ☐ Tenant ☐ Shared</w:t>
            </w: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/>
            </w:pPr>
          </w:p>
        </w:tc>
      </w:tr>
      <w:tr>
        <w:tblPrEx>
          <w:tblBorders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hRule="atLeast" w:val="20"/>
        </w:trPr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/>
            </w:pPr>
            <w:r>
              <w:rPr/>
              <w:t xml:space="preserve">Internet/Cable</w:t>
            </w: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/>
            </w:pPr>
            <w:r>
              <w:rPr/>
              <w:t xml:space="preserve">☐ Landlord ☐ Tenant ☐ Shared</w:t>
            </w: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/>
            </w:pPr>
          </w:p>
        </w:tc>
      </w:tr>
      <w:tr>
        <w:tblPrEx>
          <w:tblBorders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hRule="atLeast" w:val="20"/>
        </w:trPr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/>
            </w:pPr>
            <w:r>
              <w:rPr/>
              <w:t xml:space="preserve">Trash</w:t>
            </w: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/>
            </w:pPr>
            <w:r>
              <w:rPr/>
              <w:t xml:space="preserve">☐ Landlord ☐ Tenant ☐ Shared</w:t>
            </w: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/>
            </w:pPr>
          </w:p>
        </w:tc>
      </w:tr>
      <w:tr>
        <w:tblPrEx>
          <w:tblBorders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hRule="atLeast" w:val="20"/>
        </w:trPr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/>
            </w:pPr>
            <w:r>
              <w:rPr/>
              <w:t xml:space="preserve">Other: [e.g., Council Tax]</w:t>
            </w: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/>
            </w:pPr>
            <w:r>
              <w:rPr/>
              <w:t xml:space="preserve">☐ Landlord ☐ Tenant ☐ Shared</w:t>
            </w: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/>
            </w:pPr>
          </w:p>
        </w:tc>
      </w:tr>
    </w:tbl>
    <w:p>
      <w:pPr>
        <w:pBdr/>
        <w:pStyle w:val="Heading 2"/>
        <w:spacing w:beforeAutospacing="true" w:afterAutospacing="true"/>
        <w:ind/>
        <w:rPr>
          <w:rFonts w:eastAsia="Times new roman"/>
          <w:b/>
          <w:bCs/>
        </w:rPr>
      </w:pPr>
      <w:bookmarkStart w:name="_Toc000000006" w:id="10"/>
      <w:bookmarkStart w:name="5_house_rules_and_use_of_premises" w:id="11"/>
      <w:r>
        <w:rPr>
          <w:rFonts w:eastAsia="Times new roman"/>
          <w:b/>
          <w:bCs/>
        </w:rPr>
        <w:t xml:space="preserve">5. House Rules and Use of Premises</w:t>
      </w:r>
      <w:bookmarkEnd w:id="11"/>
      <w:bookmarkEnd w:id="10"/>
    </w:p>
    <w:p>
      <w:pPr>
        <w:pBdr/>
        <w:pStyle w:val="Normal (Web)"/>
        <w:numPr>
          <w:ilvl w:val="0"/>
          <w:numId w:val="4"/>
        </w:numPr>
        <w:spacing/>
        <w:ind w:left="720"/>
        <w:rPr/>
      </w:pPr>
      <w:r>
        <w:rPr/>
        <w:t xml:space="preserve">Occupancy: Tenant only; no subletting without written consent.</w:t>
      </w:r>
    </w:p>
    <w:p>
      <w:pPr>
        <w:pBdr/>
        <w:pStyle w:val="Normal (Web)"/>
        <w:numPr>
          <w:ilvl w:val="0"/>
          <w:numId w:val="4"/>
        </w:numPr>
        <w:spacing/>
        <w:ind w:left="720"/>
        <w:rPr/>
      </w:pPr>
      <w:r>
        <w:rPr/>
        <w:t xml:space="preserve">Guests: Max [e.g., 3 consecutive nights/week]; Landlord approval for longer.</w:t>
      </w:r>
    </w:p>
    <w:p>
      <w:pPr>
        <w:pBdr/>
        <w:pStyle w:val="Normal (Web)"/>
        <w:numPr>
          <w:ilvl w:val="0"/>
          <w:numId w:val="4"/>
        </w:numPr>
        <w:spacing/>
        <w:ind w:left="720"/>
        <w:rPr/>
      </w:pPr>
      <w:r>
        <w:rPr/>
        <w:t xml:space="preserve">Pets: ☐ Allowed (with [fee/insurance]); ☐ Prohibited.</w:t>
      </w:r>
    </w:p>
    <w:p>
      <w:pPr>
        <w:pBdr/>
        <w:pStyle w:val="Normal (Web)"/>
        <w:numPr>
          <w:ilvl w:val="0"/>
          <w:numId w:val="4"/>
        </w:numPr>
        <w:spacing/>
        <w:ind w:left="720"/>
        <w:rPr/>
      </w:pPr>
      <w:r>
        <w:rPr/>
        <w:t xml:space="preserve">Smoking: Prohibited throughout property.</w:t>
      </w:r>
    </w:p>
    <w:p>
      <w:pPr>
        <w:pBdr/>
        <w:pStyle w:val="Normal (Web)"/>
        <w:numPr>
          <w:ilvl w:val="0"/>
          <w:numId w:val="4"/>
        </w:numPr>
        <w:spacing/>
        <w:ind w:left="720"/>
        <w:rPr/>
      </w:pPr>
      <w:r>
        <w:rPr/>
        <w:t xml:space="preserve">Quiet Hours: [e.g., 10 PM–8 AM]. No parties disturbing neighbors.</w:t>
      </w:r>
    </w:p>
    <w:p>
      <w:pPr>
        <w:pBdr/>
        <w:pStyle w:val="Normal (Web)"/>
        <w:numPr>
          <w:ilvl w:val="0"/>
          <w:numId w:val="4"/>
        </w:numPr>
        <w:spacing/>
        <w:ind w:left="720"/>
        <w:rPr/>
      </w:pPr>
      <w:r>
        <w:rPr/>
        <w:t xml:space="preserve">Cleaning/Chores: [e.g., Weekly roster for common areas; Tenant responsible for room].</w:t>
      </w:r>
    </w:p>
    <w:p>
      <w:pPr>
        <w:pBdr/>
        <w:pStyle w:val="Normal (Web)"/>
        <w:numPr>
          <w:ilvl w:val="0"/>
          <w:numId w:val="4"/>
        </w:numPr>
        <w:spacing/>
        <w:ind w:left="720"/>
        <w:rPr/>
      </w:pPr>
      <w:r>
        <w:rPr/>
        <w:t xml:space="preserve">Prohibited: Illegal activities, alterations without permission, excessive noise.</w:t>
      </w:r>
    </w:p>
    <w:p>
      <w:pPr>
        <w:pBdr/>
        <w:pStyle w:val="Heading 2"/>
        <w:spacing w:beforeAutospacing="true" w:afterAutospacing="true"/>
        <w:ind/>
        <w:rPr>
          <w:rFonts w:eastAsia="Times new roman"/>
          <w:b/>
          <w:bCs/>
        </w:rPr>
      </w:pPr>
      <w:bookmarkStart w:name="_Toc000000007" w:id="12"/>
      <w:bookmarkStart w:name="6_maintenance_repairs_and_access" w:id="13"/>
      <w:r>
        <w:rPr>
          <w:rFonts w:eastAsia="Times new roman"/>
          <w:b/>
          <w:bCs/>
        </w:rPr>
        <w:t xml:space="preserve">6. Maintenance, Repairs, and Access</w:t>
      </w:r>
      <w:bookmarkEnd w:id="13"/>
      <w:bookmarkEnd w:id="12"/>
    </w:p>
    <w:p>
      <w:pPr>
        <w:pBdr/>
        <w:pStyle w:val="Normal (Web)"/>
        <w:numPr>
          <w:ilvl w:val="0"/>
          <w:numId w:val="5"/>
        </w:numPr>
        <w:spacing/>
        <w:ind w:left="720"/>
        <w:rPr/>
      </w:pPr>
      <w:r>
        <w:rPr/>
        <w:t xml:space="preserve">Tenant Duties: Keep room clean; minor upkeep (e.g., changing bulbs); report issues promptly.</w:t>
      </w:r>
    </w:p>
    <w:p>
      <w:pPr>
        <w:pBdr/>
        <w:pStyle w:val="Normal (Web)"/>
        <w:numPr>
          <w:ilvl w:val="0"/>
          <w:numId w:val="5"/>
        </w:numPr>
        <w:spacing/>
        <w:ind w:left="720"/>
        <w:rPr/>
      </w:pPr>
      <w:r>
        <w:rPr/>
        <w:t xml:space="preserve">Landlord Duties: Major repairs (plumbing, heating); maintain common areas.</w:t>
      </w:r>
    </w:p>
    <w:p>
      <w:pPr>
        <w:pBdr/>
        <w:pStyle w:val="Normal (Web)"/>
        <w:numPr>
          <w:ilvl w:val="0"/>
          <w:numId w:val="5"/>
        </w:numPr>
        <w:spacing/>
        <w:ind w:left="720"/>
        <w:rPr/>
      </w:pPr>
      <w:r>
        <w:rPr/>
        <w:t xml:space="preserve">Access: Landlord entry with [24/48 hours'] reasonable notice, except emergencies.</w:t>
      </w:r>
    </w:p>
    <w:p>
      <w:pPr>
        <w:pBdr/>
        <w:pStyle w:val="Heading 2"/>
        <w:spacing w:beforeAutospacing="true" w:afterAutospacing="true"/>
        <w:ind/>
        <w:rPr>
          <w:rFonts w:eastAsia="Times new roman"/>
          <w:b/>
          <w:bCs/>
        </w:rPr>
      </w:pPr>
    </w:p>
    <w:p>
      <w:pPr>
        <w:pBdr/>
        <w:pStyle w:val="Heading 2"/>
        <w:spacing w:beforeAutospacing="true" w:afterAutospacing="true"/>
        <w:ind/>
        <w:rPr>
          <w:rFonts w:eastAsia="Times new roman"/>
          <w:b/>
          <w:bCs/>
        </w:rPr>
      </w:pPr>
      <w:bookmarkStart w:name="_Toc000000008" w:id="14"/>
      <w:bookmarkStart w:name="7_insurance_and_liability" w:id="15"/>
      <w:r>
        <w:rPr>
          <w:rFonts w:eastAsia="Times new roman"/>
          <w:b/>
          <w:bCs/>
        </w:rPr>
        <w:t xml:space="preserve">7. Insurance and Liability</w:t>
      </w:r>
      <w:bookmarkEnd w:id="15"/>
      <w:bookmarkEnd w:id="14"/>
    </w:p>
    <w:p>
      <w:pPr>
        <w:pBdr/>
        <w:pStyle w:val="Normal (Web)"/>
        <w:numPr>
          <w:ilvl w:val="0"/>
          <w:numId w:val="6"/>
        </w:numPr>
        <w:spacing/>
        <w:ind w:left="720"/>
        <w:rPr/>
      </w:pPr>
      <w:r>
        <w:rPr/>
        <w:t xml:space="preserve">Tenant: Maintain renter's insurance for personal belongings/liability ([min coverage, e.g., $100,000]).</w:t>
      </w:r>
    </w:p>
    <w:p>
      <w:pPr>
        <w:pBdr/>
        <w:pStyle w:val="Normal (Web)"/>
        <w:numPr>
          <w:ilvl w:val="0"/>
          <w:numId w:val="6"/>
        </w:numPr>
        <w:spacing/>
        <w:ind w:left="720"/>
        <w:rPr/>
      </w:pPr>
      <w:r>
        <w:rPr/>
        <w:t xml:space="preserve">Landlord: Not liable for Tenant's belongings; property insurance does not cover Tenant items.</w:t>
      </w:r>
    </w:p>
    <w:p>
      <w:pPr>
        <w:pBdr/>
        <w:pStyle w:val="Normal (Web)"/>
        <w:numPr>
          <w:ilvl w:val="0"/>
          <w:numId w:val="6"/>
        </w:numPr>
        <w:spacing/>
        <w:ind w:left="720"/>
        <w:rPr/>
      </w:pPr>
      <w:r>
        <w:rPr/>
        <w:t xml:space="preserve">Indemnity: Tenant indemnifies Landlord against claims from Tenant's negligence.</w:t>
      </w:r>
    </w:p>
    <w:p>
      <w:pPr>
        <w:pBdr/>
        <w:pStyle w:val="Heading 2"/>
        <w:spacing w:beforeAutospacing="true" w:afterAutospacing="true"/>
        <w:ind/>
        <w:rPr>
          <w:rFonts w:eastAsia="Times new roman"/>
          <w:b/>
          <w:bCs/>
        </w:rPr>
      </w:pPr>
      <w:bookmarkStart w:name="_Toc000000009" w:id="16"/>
      <w:bookmarkStart w:name="8_termination_and_eviction" w:id="17"/>
      <w:r>
        <w:rPr>
          <w:rFonts w:eastAsia="Times new roman"/>
          <w:b/>
          <w:bCs/>
        </w:rPr>
        <w:t xml:space="preserve">8. Termination and Eviction</w:t>
      </w:r>
      <w:bookmarkEnd w:id="17"/>
      <w:bookmarkEnd w:id="16"/>
    </w:p>
    <w:p>
      <w:pPr>
        <w:pBdr/>
        <w:pStyle w:val="Normal (Web)"/>
        <w:numPr>
          <w:ilvl w:val="0"/>
          <w:numId w:val="7"/>
        </w:numPr>
        <w:spacing/>
        <w:ind w:left="720"/>
        <w:rPr/>
      </w:pPr>
      <w:r>
        <w:rPr/>
        <w:t xml:space="preserve">Notice: As per term; for cause (non-payment, breach): [3/14 days] to cure.</w:t>
      </w:r>
    </w:p>
    <w:p>
      <w:pPr>
        <w:pBdr/>
        <w:pStyle w:val="Normal (Web)"/>
        <w:numPr>
          <w:ilvl w:val="0"/>
          <w:numId w:val="7"/>
        </w:numPr>
        <w:spacing/>
        <w:ind w:left="720"/>
        <w:rPr/>
      </w:pPr>
      <w:r>
        <w:rPr/>
        <w:t xml:space="preserve">Move-Out: Return keys; leave broom-clean; schedule final inspection.</w:t>
      </w:r>
    </w:p>
    <w:p>
      <w:pPr>
        <w:pBdr/>
        <w:pStyle w:val="Normal (Web)"/>
        <w:numPr>
          <w:ilvl w:val="0"/>
          <w:numId w:val="7"/>
        </w:numPr>
        <w:spacing/>
        <w:ind w:left="720"/>
        <w:rPr/>
      </w:pPr>
      <w:r>
        <w:rPr/>
        <w:t xml:space="preserve">Abandonment: [14 days] unpaid rent deems abandonment.</w:t>
      </w:r>
    </w:p>
    <w:p>
      <w:pPr>
        <w:pBdr/>
        <w:pStyle w:val="Normal (Web)"/>
        <w:numPr>
          <w:ilvl w:val="0"/>
          <w:numId w:val="0"/>
        </w:numPr>
        <w:spacing/>
        <w:ind w:left="720"/>
        <w:rPr/>
      </w:pPr>
    </w:p>
    <w:p>
      <w:pPr>
        <w:pBdr/>
        <w:pStyle w:val="Normal (Web)"/>
        <w:numPr>
          <w:ilvl w:val="0"/>
          <w:numId w:val="0"/>
        </w:numPr>
        <w:spacing/>
        <w:ind w:left="720"/>
        <w:rPr/>
      </w:pPr>
    </w:p>
    <w:p>
      <w:pPr>
        <w:pBdr/>
        <w:pStyle w:val="Normal (Web)"/>
        <w:numPr>
          <w:ilvl w:val="0"/>
          <w:numId w:val="0"/>
        </w:numPr>
        <w:spacing/>
        <w:ind w:left="720"/>
        <w:rPr/>
      </w:pPr>
    </w:p>
    <w:p>
      <w:pPr>
        <w:pBdr/>
        <w:pStyle w:val="Heading 2"/>
        <w:spacing w:beforeAutospacing="true" w:afterAutospacing="true"/>
        <w:ind/>
        <w:rPr>
          <w:rFonts w:eastAsia="Times new roman"/>
          <w:b/>
          <w:bCs/>
        </w:rPr>
      </w:pPr>
      <w:bookmarkStart w:name="_Toc000000010" w:id="18"/>
      <w:bookmarkStart w:name="9_disclosures_usauk_specific" w:id="19"/>
      <w:r>
        <w:rPr>
          <w:rFonts w:eastAsia="Times new roman"/>
          <w:b/>
          <w:bCs/>
        </w:rPr>
        <w:t xml:space="preserve">9. Disclosures </w:t>
      </w:r>
      <w:bookmarkEnd w:id="19"/>
      <w:bookmarkEnd w:id="18"/>
    </w:p>
    <w:p>
      <w:pPr>
        <w:pBdr/>
        <w:pStyle w:val="Normal (Web)"/>
        <w:numPr>
          <w:ilvl w:val="0"/>
          <w:numId w:val="8"/>
        </w:numPr>
        <w:spacing/>
        <w:ind w:left="720"/>
        <w:rPr/>
      </w:pPr>
      <w:r>
        <w:rPr/>
        <w:t xml:space="preserve">☐ Lead-based paint (pre-1978 properties); ☐ Bed bugs; ☐ Mold; State-specific: [e.g., CA sex offender registry].</w:t>
      </w:r>
    </w:p>
    <w:p>
      <w:pPr>
        <w:pBdr/>
        <w:pStyle w:val="Normal (Web)"/>
        <w:numPr>
          <w:ilvl w:val="0"/>
          <w:numId w:val="8"/>
        </w:numPr>
        <w:spacing/>
        <w:ind w:left="720"/>
        <w:rPr/>
      </w:pPr>
      <w:r>
        <w:rPr/>
        <w:t xml:space="preserve">☐ Gas Safety Certificate; ☐ EPC; ☐ Right to Rent checks; How to Rent guide provided.</w:t>
      </w:r>
    </w:p>
    <w:p>
      <w:pPr>
        <w:pBdr/>
        <w:pStyle w:val="Heading 2"/>
        <w:spacing w:beforeAutospacing="true" w:afterAutospacing="true"/>
        <w:ind/>
        <w:rPr>
          <w:rFonts w:eastAsia="Times new roman"/>
          <w:b/>
          <w:bCs/>
        </w:rPr>
      </w:pPr>
      <w:bookmarkStart w:name="_Toc000000011" w:id="20"/>
      <w:bookmarkStart w:name="10_governing_law_and_dispute_resolution" w:id="21"/>
      <w:r>
        <w:rPr>
          <w:rFonts w:eastAsia="Times new roman"/>
          <w:b/>
          <w:bCs/>
        </w:rPr>
        <w:t xml:space="preserve">10. Governing Law and Dispute Resolution</w:t>
      </w:r>
      <w:bookmarkEnd w:id="21"/>
      <w:bookmarkEnd w:id="20"/>
    </w:p>
    <w:p>
      <w:pPr>
        <w:pBdr/>
        <w:pStyle w:val="Normal (Web)"/>
        <w:numPr>
          <w:ilvl w:val="0"/>
          <w:numId w:val="9"/>
        </w:numPr>
        <w:spacing/>
        <w:ind w:left="720"/>
        <w:rPr/>
      </w:pPr>
      <w:r>
        <w:rPr/>
        <w:t xml:space="preserve">Governed by laws of [State/Country, e.g., "State of California" or "England and Wales"].</w:t>
      </w:r>
    </w:p>
    <w:p>
      <w:pPr>
        <w:pBdr/>
        <w:pStyle w:val="Normal (Web)"/>
        <w:numPr>
          <w:ilvl w:val="0"/>
          <w:numId w:val="9"/>
        </w:numPr>
        <w:spacing/>
        <w:ind w:left="720"/>
        <w:rPr/>
      </w:pPr>
      <w:r>
        <w:rPr/>
        <w:t xml:space="preserve">Disputes: Mediation first; then courts in [jurisdiction]. Entire agreement; amendments in writing.</w:t>
      </w:r>
    </w:p>
    <w:p>
      <w:pPr>
        <w:pBdr/>
        <w:pStyle w:val="Heading 2"/>
        <w:spacing w:beforeAutospacing="true" w:afterAutospacing="true"/>
        <w:ind/>
        <w:rPr>
          <w:rFonts w:eastAsia="Times new roman"/>
          <w:b/>
          <w:bCs/>
        </w:rPr>
      </w:pPr>
      <w:bookmarkStart w:name="_Toc000000012" w:id="22"/>
      <w:bookmarkStart w:name="11_signatures" w:id="23"/>
      <w:r>
        <w:rPr>
          <w:rFonts w:eastAsia="Times new roman"/>
          <w:b/>
          <w:bCs/>
        </w:rPr>
        <w:t xml:space="preserve">11. Signatures</w:t>
      </w:r>
      <w:bookmarkEnd w:id="23"/>
      <w:bookmarkEnd w:id="22"/>
    </w:p>
    <w:p>
      <w:pPr>
        <w:pBdr/>
        <w:pStyle w:val="Normal (Web)"/>
        <w:spacing/>
        <w:ind/>
        <w:rPr/>
      </w:pPr>
      <w:r>
        <w:rPr/>
        <w:t xml:space="preserve">Landlord: _______________________________ Date: __________</w:t>
      </w:r>
    </w:p>
    <w:p>
      <w:pPr>
        <w:pBdr/>
        <w:pStyle w:val="Normal (Web)"/>
        <w:spacing/>
        <w:ind/>
        <w:rPr/>
      </w:pPr>
      <w:r>
        <w:rPr/>
        <w:t xml:space="preserve">Tenant: _______________________________ Date: __________</w:t>
      </w:r>
    </w:p>
    <w:p>
      <w:pPr>
        <w:pBdr/>
        <w:pStyle w:val="Normal (Web)"/>
        <w:spacing/>
        <w:ind/>
        <w:rPr/>
      </w:pPr>
      <w:r>
        <w:rPr/>
        <w:t xml:space="preserve">Witness: _______________________________ Date: __________</w:t>
      </w:r>
    </w:p>
    <w:sectPr>
      <w:type w:val="nextPage"/>
      <w:pgSz w:w="11906" w:h="16838"/>
      <w:pgMar w:top="1440" w:right="1440" w:bottom="1440" w:left="1440" w:header="720" w:footer="720" w:gutter="0"/>
      <w:pgNumType w:fmt="Arabic"/>
      <w:pgBorders/>
      <w:endnotePr>
        <w:pos w:val="docEnd"/>
        <w:numFmt w:val="lowerRoman"/>
        <w:numRestart w:val="continuous"/>
        <w:numStart w:val="1"/>
      </w:endnotePr>
    </w:sectPr>
  </w:body>
</w:document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7C27B4"/>
    <w:lvl w:ilvl="0">
      <w:start w:val="0"/>
      <w:numFmt w:val="bullet"/>
      <w:suff w:val="tab"/>
      <w:lvlText w:val=""/>
      <w:pPr>
        <w:pBdr/>
        <w:spacing/>
        <w:ind w:left="720" w:hanging="360"/>
      </w:pPr>
      <w:rPr>
        <w:rFonts w:ascii="Symbol" w:hAnsi="Symbol"/>
        <w:sz w:val="20"/>
      </w:rPr>
    </w:lvl>
    <w:lvl w:ilvl="1">
      <w:start w:val="0"/>
      <w:numFmt w:val="bullet"/>
      <w:suff w:val="tab"/>
      <w:lvlText w:val="o"/>
      <w:pPr>
        <w:pBdr/>
        <w:spacing/>
        <w:ind w:left="1440"/>
      </w:pPr>
      <w:rPr>
        <w:rFonts w:ascii="Courier New" w:hAnsi="Courier New"/>
      </w:rPr>
    </w:lvl>
    <w:lvl w:ilvl="2">
      <w:start w:val="0"/>
      <w:numFmt w:val="bullet"/>
      <w:suff w:val="tab"/>
      <w:lvlText w:val=""/>
      <w:pPr>
        <w:pBdr/>
        <w:spacing/>
        <w:ind w:left="2160"/>
      </w:pPr>
      <w:rPr>
        <w:rFonts w:ascii="Wingdings" w:hAnsi="Wingdings"/>
      </w:rPr>
    </w:lvl>
    <w:lvl w:ilvl="3">
      <w:start w:val="0"/>
      <w:numFmt w:val="bullet"/>
      <w:suff w:val="tab"/>
      <w:lvlText w:val=""/>
      <w:pPr>
        <w:pBdr/>
        <w:spacing/>
        <w:ind w:left="2880"/>
      </w:pPr>
      <w:rPr>
        <w:rFonts w:ascii="Symbol" w:hAnsi="Symbol"/>
      </w:rPr>
    </w:lvl>
    <w:lvl w:ilvl="4">
      <w:start w:val="0"/>
      <w:numFmt w:val="bullet"/>
      <w:suff w:val="tab"/>
      <w:lvlText w:val="o"/>
      <w:pPr>
        <w:pBdr/>
        <w:spacing/>
        <w:ind w:left="3600"/>
      </w:pPr>
      <w:rPr>
        <w:rFonts w:ascii="Courier New" w:hAnsi="Courier New"/>
      </w:rPr>
    </w:lvl>
    <w:lvl w:ilvl="5">
      <w:start w:val="0"/>
      <w:numFmt w:val="bullet"/>
      <w:suff w:val="tab"/>
      <w:lvlText w:val=""/>
      <w:pPr>
        <w:pBdr/>
        <w:spacing/>
        <w:ind w:left="4320"/>
      </w:pPr>
      <w:rPr>
        <w:rFonts w:ascii="Wingdings" w:hAnsi="Wingdings"/>
      </w:rPr>
    </w:lvl>
    <w:lvl w:ilvl="6">
      <w:start w:val="0"/>
      <w:numFmt w:val="bullet"/>
      <w:suff w:val="tab"/>
      <w:lvlText w:val=""/>
      <w:pPr>
        <w:pBdr/>
        <w:spacing/>
        <w:ind w:left="5040"/>
      </w:pPr>
      <w:rPr>
        <w:rFonts w:ascii="Symbol" w:hAnsi="Symbol"/>
      </w:rPr>
    </w:lvl>
    <w:lvl w:ilvl="7">
      <w:start w:val="0"/>
      <w:numFmt w:val="bullet"/>
      <w:suff w:val="tab"/>
      <w:lvlText w:val="o"/>
      <w:pPr>
        <w:pBdr/>
        <w:spacing/>
        <w:ind w:left="5760"/>
      </w:pPr>
      <w:rPr>
        <w:rFonts w:ascii="Courier New" w:hAnsi="Courier New"/>
      </w:rPr>
    </w:lvl>
    <w:lvl w:ilvl="8">
      <w:start w:val="0"/>
      <w:numFmt w:val="bullet"/>
      <w:suff w:val="tab"/>
      <w:lvlText w:val=""/>
      <w:pPr>
        <w:pBdr/>
        <w:spacing/>
        <w:ind w:left="6480"/>
      </w:pPr>
      <w:rPr>
        <w:rFonts w:ascii="Wingdings" w:hAnsi="Wingdings"/>
      </w:rPr>
    </w:lvl>
  </w:abstractNum>
  <w:abstractNum w:abstractNumId="1">
    <w:nsid w:val="344DA012"/>
    <w:lvl w:ilvl="0">
      <w:start w:val="0"/>
      <w:numFmt w:val="bullet"/>
      <w:suff w:val="tab"/>
      <w:lvlText w:val=""/>
      <w:pPr>
        <w:pBdr/>
        <w:spacing/>
        <w:ind w:left="720" w:hanging="360"/>
      </w:pPr>
      <w:rPr>
        <w:rFonts w:ascii="Symbol" w:hAnsi="Symbol"/>
        <w:sz w:val="20"/>
      </w:rPr>
    </w:lvl>
    <w:lvl w:ilvl="1">
      <w:start w:val="0"/>
      <w:numFmt w:val="bullet"/>
      <w:suff w:val="tab"/>
      <w:lvlText w:val="o"/>
      <w:pPr>
        <w:pBdr/>
        <w:spacing/>
        <w:ind w:left="1440"/>
      </w:pPr>
      <w:rPr>
        <w:rFonts w:ascii="Courier New" w:hAnsi="Courier New"/>
      </w:rPr>
    </w:lvl>
    <w:lvl w:ilvl="2">
      <w:start w:val="0"/>
      <w:numFmt w:val="bullet"/>
      <w:suff w:val="tab"/>
      <w:lvlText w:val=""/>
      <w:pPr>
        <w:pBdr/>
        <w:spacing/>
        <w:ind w:left="2160"/>
      </w:pPr>
      <w:rPr>
        <w:rFonts w:ascii="Wingdings" w:hAnsi="Wingdings"/>
      </w:rPr>
    </w:lvl>
    <w:lvl w:ilvl="3">
      <w:start w:val="0"/>
      <w:numFmt w:val="bullet"/>
      <w:suff w:val="tab"/>
      <w:lvlText w:val=""/>
      <w:pPr>
        <w:pBdr/>
        <w:spacing/>
        <w:ind w:left="2880"/>
      </w:pPr>
      <w:rPr>
        <w:rFonts w:ascii="Symbol" w:hAnsi="Symbol"/>
      </w:rPr>
    </w:lvl>
    <w:lvl w:ilvl="4">
      <w:start w:val="0"/>
      <w:numFmt w:val="bullet"/>
      <w:suff w:val="tab"/>
      <w:lvlText w:val="o"/>
      <w:pPr>
        <w:pBdr/>
        <w:spacing/>
        <w:ind w:left="3600"/>
      </w:pPr>
      <w:rPr>
        <w:rFonts w:ascii="Courier New" w:hAnsi="Courier New"/>
      </w:rPr>
    </w:lvl>
    <w:lvl w:ilvl="5">
      <w:start w:val="0"/>
      <w:numFmt w:val="bullet"/>
      <w:suff w:val="tab"/>
      <w:lvlText w:val=""/>
      <w:pPr>
        <w:pBdr/>
        <w:spacing/>
        <w:ind w:left="4320"/>
      </w:pPr>
      <w:rPr>
        <w:rFonts w:ascii="Wingdings" w:hAnsi="Wingdings"/>
      </w:rPr>
    </w:lvl>
    <w:lvl w:ilvl="6">
      <w:start w:val="0"/>
      <w:numFmt w:val="bullet"/>
      <w:suff w:val="tab"/>
      <w:lvlText w:val=""/>
      <w:pPr>
        <w:pBdr/>
        <w:spacing/>
        <w:ind w:left="5040"/>
      </w:pPr>
      <w:rPr>
        <w:rFonts w:ascii="Symbol" w:hAnsi="Symbol"/>
      </w:rPr>
    </w:lvl>
    <w:lvl w:ilvl="7">
      <w:start w:val="0"/>
      <w:numFmt w:val="bullet"/>
      <w:suff w:val="tab"/>
      <w:lvlText w:val="o"/>
      <w:pPr>
        <w:pBdr/>
        <w:spacing/>
        <w:ind w:left="5760"/>
      </w:pPr>
      <w:rPr>
        <w:rFonts w:ascii="Courier New" w:hAnsi="Courier New"/>
      </w:rPr>
    </w:lvl>
    <w:lvl w:ilvl="8">
      <w:start w:val="0"/>
      <w:numFmt w:val="bullet"/>
      <w:suff w:val="tab"/>
      <w:lvlText w:val=""/>
      <w:pPr>
        <w:pBdr/>
        <w:spacing/>
        <w:ind w:left="6480"/>
      </w:pPr>
      <w:rPr>
        <w:rFonts w:ascii="Wingdings" w:hAnsi="Wingdings"/>
      </w:rPr>
    </w:lvl>
  </w:abstractNum>
  <w:abstractNum w:abstractNumId="2">
    <w:nsid w:val="76712399"/>
    <w:lvl w:ilvl="0">
      <w:start w:val="0"/>
      <w:numFmt w:val="bullet"/>
      <w:suff w:val="tab"/>
      <w:lvlText w:val=""/>
      <w:pPr>
        <w:pBdr/>
        <w:spacing/>
        <w:ind w:left="720" w:hanging="360"/>
      </w:pPr>
      <w:rPr>
        <w:rFonts w:ascii="Symbol" w:hAnsi="Symbol"/>
        <w:sz w:val="20"/>
      </w:rPr>
    </w:lvl>
    <w:lvl w:ilvl="1">
      <w:start w:val="0"/>
      <w:numFmt w:val="bullet"/>
      <w:suff w:val="tab"/>
      <w:lvlText w:val="o"/>
      <w:pPr>
        <w:pBdr/>
        <w:spacing/>
        <w:ind w:left="1440"/>
      </w:pPr>
      <w:rPr>
        <w:rFonts w:ascii="Courier New" w:hAnsi="Courier New"/>
      </w:rPr>
    </w:lvl>
    <w:lvl w:ilvl="2">
      <w:start w:val="0"/>
      <w:numFmt w:val="bullet"/>
      <w:suff w:val="tab"/>
      <w:lvlText w:val=""/>
      <w:pPr>
        <w:pBdr/>
        <w:spacing/>
        <w:ind w:left="2160"/>
      </w:pPr>
      <w:rPr>
        <w:rFonts w:ascii="Wingdings" w:hAnsi="Wingdings"/>
      </w:rPr>
    </w:lvl>
    <w:lvl w:ilvl="3">
      <w:start w:val="0"/>
      <w:numFmt w:val="bullet"/>
      <w:suff w:val="tab"/>
      <w:lvlText w:val=""/>
      <w:pPr>
        <w:pBdr/>
        <w:spacing/>
        <w:ind w:left="2880"/>
      </w:pPr>
      <w:rPr>
        <w:rFonts w:ascii="Symbol" w:hAnsi="Symbol"/>
      </w:rPr>
    </w:lvl>
    <w:lvl w:ilvl="4">
      <w:start w:val="0"/>
      <w:numFmt w:val="bullet"/>
      <w:suff w:val="tab"/>
      <w:lvlText w:val="o"/>
      <w:pPr>
        <w:pBdr/>
        <w:spacing/>
        <w:ind w:left="3600"/>
      </w:pPr>
      <w:rPr>
        <w:rFonts w:ascii="Courier New" w:hAnsi="Courier New"/>
      </w:rPr>
    </w:lvl>
    <w:lvl w:ilvl="5">
      <w:start w:val="0"/>
      <w:numFmt w:val="bullet"/>
      <w:suff w:val="tab"/>
      <w:lvlText w:val=""/>
      <w:pPr>
        <w:pBdr/>
        <w:spacing/>
        <w:ind w:left="4320"/>
      </w:pPr>
      <w:rPr>
        <w:rFonts w:ascii="Wingdings" w:hAnsi="Wingdings"/>
      </w:rPr>
    </w:lvl>
    <w:lvl w:ilvl="6">
      <w:start w:val="0"/>
      <w:numFmt w:val="bullet"/>
      <w:suff w:val="tab"/>
      <w:lvlText w:val=""/>
      <w:pPr>
        <w:pBdr/>
        <w:spacing/>
        <w:ind w:left="5040"/>
      </w:pPr>
      <w:rPr>
        <w:rFonts w:ascii="Symbol" w:hAnsi="Symbol"/>
      </w:rPr>
    </w:lvl>
    <w:lvl w:ilvl="7">
      <w:start w:val="0"/>
      <w:numFmt w:val="bullet"/>
      <w:suff w:val="tab"/>
      <w:lvlText w:val="o"/>
      <w:pPr>
        <w:pBdr/>
        <w:spacing/>
        <w:ind w:left="5760"/>
      </w:pPr>
      <w:rPr>
        <w:rFonts w:ascii="Courier New" w:hAnsi="Courier New"/>
      </w:rPr>
    </w:lvl>
    <w:lvl w:ilvl="8">
      <w:start w:val="0"/>
      <w:numFmt w:val="bullet"/>
      <w:suff w:val="tab"/>
      <w:lvlText w:val=""/>
      <w:pPr>
        <w:pBdr/>
        <w:spacing/>
        <w:ind w:left="6480"/>
      </w:pPr>
      <w:rPr>
        <w:rFonts w:ascii="Wingdings" w:hAnsi="Wingdings"/>
      </w:rPr>
    </w:lvl>
  </w:abstractNum>
  <w:abstractNum w:abstractNumId="3">
    <w:nsid w:val="41E661F"/>
    <w:lvl w:ilvl="0">
      <w:start w:val="0"/>
      <w:numFmt w:val="bullet"/>
      <w:suff w:val="tab"/>
      <w:lvlText w:val=""/>
      <w:pPr>
        <w:pBdr/>
        <w:spacing/>
        <w:ind w:left="720" w:hanging="360"/>
      </w:pPr>
      <w:rPr>
        <w:rFonts w:ascii="Symbol" w:hAnsi="Symbol"/>
        <w:sz w:val="20"/>
      </w:rPr>
    </w:lvl>
    <w:lvl w:ilvl="1">
      <w:start w:val="0"/>
      <w:numFmt w:val="bullet"/>
      <w:suff w:val="tab"/>
      <w:lvlText w:val="o"/>
      <w:pPr>
        <w:pBdr/>
        <w:spacing/>
        <w:ind w:left="1440"/>
      </w:pPr>
      <w:rPr>
        <w:rFonts w:ascii="Courier New" w:hAnsi="Courier New"/>
      </w:rPr>
    </w:lvl>
    <w:lvl w:ilvl="2">
      <w:start w:val="0"/>
      <w:numFmt w:val="bullet"/>
      <w:suff w:val="tab"/>
      <w:lvlText w:val=""/>
      <w:pPr>
        <w:pBdr/>
        <w:spacing/>
        <w:ind w:left="2160"/>
      </w:pPr>
      <w:rPr>
        <w:rFonts w:ascii="Wingdings" w:hAnsi="Wingdings"/>
      </w:rPr>
    </w:lvl>
    <w:lvl w:ilvl="3">
      <w:start w:val="0"/>
      <w:numFmt w:val="bullet"/>
      <w:suff w:val="tab"/>
      <w:lvlText w:val=""/>
      <w:pPr>
        <w:pBdr/>
        <w:spacing/>
        <w:ind w:left="2880"/>
      </w:pPr>
      <w:rPr>
        <w:rFonts w:ascii="Symbol" w:hAnsi="Symbol"/>
      </w:rPr>
    </w:lvl>
    <w:lvl w:ilvl="4">
      <w:start w:val="0"/>
      <w:numFmt w:val="bullet"/>
      <w:suff w:val="tab"/>
      <w:lvlText w:val="o"/>
      <w:pPr>
        <w:pBdr/>
        <w:spacing/>
        <w:ind w:left="3600"/>
      </w:pPr>
      <w:rPr>
        <w:rFonts w:ascii="Courier New" w:hAnsi="Courier New"/>
      </w:rPr>
    </w:lvl>
    <w:lvl w:ilvl="5">
      <w:start w:val="0"/>
      <w:numFmt w:val="bullet"/>
      <w:suff w:val="tab"/>
      <w:lvlText w:val=""/>
      <w:pPr>
        <w:pBdr/>
        <w:spacing/>
        <w:ind w:left="4320"/>
      </w:pPr>
      <w:rPr>
        <w:rFonts w:ascii="Wingdings" w:hAnsi="Wingdings"/>
      </w:rPr>
    </w:lvl>
    <w:lvl w:ilvl="6">
      <w:start w:val="0"/>
      <w:numFmt w:val="bullet"/>
      <w:suff w:val="tab"/>
      <w:lvlText w:val=""/>
      <w:pPr>
        <w:pBdr/>
        <w:spacing/>
        <w:ind w:left="5040"/>
      </w:pPr>
      <w:rPr>
        <w:rFonts w:ascii="Symbol" w:hAnsi="Symbol"/>
      </w:rPr>
    </w:lvl>
    <w:lvl w:ilvl="7">
      <w:start w:val="0"/>
      <w:numFmt w:val="bullet"/>
      <w:suff w:val="tab"/>
      <w:lvlText w:val="o"/>
      <w:pPr>
        <w:pBdr/>
        <w:spacing/>
        <w:ind w:left="5760"/>
      </w:pPr>
      <w:rPr>
        <w:rFonts w:ascii="Courier New" w:hAnsi="Courier New"/>
      </w:rPr>
    </w:lvl>
    <w:lvl w:ilvl="8">
      <w:start w:val="0"/>
      <w:numFmt w:val="bullet"/>
      <w:suff w:val="tab"/>
      <w:lvlText w:val=""/>
      <w:pPr>
        <w:pBdr/>
        <w:spacing/>
        <w:ind w:left="6480"/>
      </w:pPr>
      <w:rPr>
        <w:rFonts w:ascii="Wingdings" w:hAnsi="Wingdings"/>
      </w:rPr>
    </w:lvl>
  </w:abstractNum>
  <w:abstractNum w:abstractNumId="4">
    <w:nsid w:val="439D9888"/>
    <w:lvl w:ilvl="0">
      <w:start w:val="0"/>
      <w:numFmt w:val="bullet"/>
      <w:suff w:val="tab"/>
      <w:lvlText w:val=""/>
      <w:pPr>
        <w:pBdr/>
        <w:spacing/>
        <w:ind w:left="720" w:hanging="360"/>
      </w:pPr>
      <w:rPr>
        <w:rFonts w:ascii="Symbol" w:hAnsi="Symbol"/>
        <w:sz w:val="20"/>
      </w:rPr>
    </w:lvl>
    <w:lvl w:ilvl="1">
      <w:start w:val="0"/>
      <w:numFmt w:val="bullet"/>
      <w:suff w:val="tab"/>
      <w:lvlText w:val="o"/>
      <w:pPr>
        <w:pBdr/>
        <w:spacing/>
        <w:ind w:left="1440"/>
      </w:pPr>
      <w:rPr>
        <w:rFonts w:ascii="Courier New" w:hAnsi="Courier New"/>
      </w:rPr>
    </w:lvl>
    <w:lvl w:ilvl="2">
      <w:start w:val="0"/>
      <w:numFmt w:val="bullet"/>
      <w:suff w:val="tab"/>
      <w:lvlText w:val=""/>
      <w:pPr>
        <w:pBdr/>
        <w:spacing/>
        <w:ind w:left="2160"/>
      </w:pPr>
      <w:rPr>
        <w:rFonts w:ascii="Wingdings" w:hAnsi="Wingdings"/>
      </w:rPr>
    </w:lvl>
    <w:lvl w:ilvl="3">
      <w:start w:val="0"/>
      <w:numFmt w:val="bullet"/>
      <w:suff w:val="tab"/>
      <w:lvlText w:val=""/>
      <w:pPr>
        <w:pBdr/>
        <w:spacing/>
        <w:ind w:left="2880"/>
      </w:pPr>
      <w:rPr>
        <w:rFonts w:ascii="Symbol" w:hAnsi="Symbol"/>
      </w:rPr>
    </w:lvl>
    <w:lvl w:ilvl="4">
      <w:start w:val="0"/>
      <w:numFmt w:val="bullet"/>
      <w:suff w:val="tab"/>
      <w:lvlText w:val="o"/>
      <w:pPr>
        <w:pBdr/>
        <w:spacing/>
        <w:ind w:left="3600"/>
      </w:pPr>
      <w:rPr>
        <w:rFonts w:ascii="Courier New" w:hAnsi="Courier New"/>
      </w:rPr>
    </w:lvl>
    <w:lvl w:ilvl="5">
      <w:start w:val="0"/>
      <w:numFmt w:val="bullet"/>
      <w:suff w:val="tab"/>
      <w:lvlText w:val=""/>
      <w:pPr>
        <w:pBdr/>
        <w:spacing/>
        <w:ind w:left="4320"/>
      </w:pPr>
      <w:rPr>
        <w:rFonts w:ascii="Wingdings" w:hAnsi="Wingdings"/>
      </w:rPr>
    </w:lvl>
    <w:lvl w:ilvl="6">
      <w:start w:val="0"/>
      <w:numFmt w:val="bullet"/>
      <w:suff w:val="tab"/>
      <w:lvlText w:val=""/>
      <w:pPr>
        <w:pBdr/>
        <w:spacing/>
        <w:ind w:left="5040"/>
      </w:pPr>
      <w:rPr>
        <w:rFonts w:ascii="Symbol" w:hAnsi="Symbol"/>
      </w:rPr>
    </w:lvl>
    <w:lvl w:ilvl="7">
      <w:start w:val="0"/>
      <w:numFmt w:val="bullet"/>
      <w:suff w:val="tab"/>
      <w:lvlText w:val="o"/>
      <w:pPr>
        <w:pBdr/>
        <w:spacing/>
        <w:ind w:left="5760"/>
      </w:pPr>
      <w:rPr>
        <w:rFonts w:ascii="Courier New" w:hAnsi="Courier New"/>
      </w:rPr>
    </w:lvl>
    <w:lvl w:ilvl="8">
      <w:start w:val="0"/>
      <w:numFmt w:val="bullet"/>
      <w:suff w:val="tab"/>
      <w:lvlText w:val=""/>
      <w:pPr>
        <w:pBdr/>
        <w:spacing/>
        <w:ind w:left="6480"/>
      </w:pPr>
      <w:rPr>
        <w:rFonts w:ascii="Wingdings" w:hAnsi="Wingdings"/>
      </w:rPr>
    </w:lvl>
  </w:abstractNum>
  <w:abstractNum w:abstractNumId="5">
    <w:nsid w:val="1957DA8E"/>
    <w:lvl w:ilvl="0">
      <w:start w:val="0"/>
      <w:numFmt w:val="bullet"/>
      <w:suff w:val="tab"/>
      <w:lvlText w:val=""/>
      <w:pPr>
        <w:pBdr/>
        <w:spacing/>
        <w:ind w:left="720" w:hanging="360"/>
      </w:pPr>
      <w:rPr>
        <w:rFonts w:ascii="Symbol" w:hAnsi="Symbol"/>
        <w:sz w:val="20"/>
      </w:rPr>
    </w:lvl>
    <w:lvl w:ilvl="1">
      <w:start w:val="0"/>
      <w:numFmt w:val="bullet"/>
      <w:suff w:val="tab"/>
      <w:lvlText w:val="o"/>
      <w:pPr>
        <w:pBdr/>
        <w:spacing/>
        <w:ind w:left="1440"/>
      </w:pPr>
      <w:rPr>
        <w:rFonts w:ascii="Courier New" w:hAnsi="Courier New"/>
      </w:rPr>
    </w:lvl>
    <w:lvl w:ilvl="2">
      <w:start w:val="0"/>
      <w:numFmt w:val="bullet"/>
      <w:suff w:val="tab"/>
      <w:lvlText w:val=""/>
      <w:pPr>
        <w:pBdr/>
        <w:spacing/>
        <w:ind w:left="2160"/>
      </w:pPr>
      <w:rPr>
        <w:rFonts w:ascii="Wingdings" w:hAnsi="Wingdings"/>
      </w:rPr>
    </w:lvl>
    <w:lvl w:ilvl="3">
      <w:start w:val="0"/>
      <w:numFmt w:val="bullet"/>
      <w:suff w:val="tab"/>
      <w:lvlText w:val=""/>
      <w:pPr>
        <w:pBdr/>
        <w:spacing/>
        <w:ind w:left="2880"/>
      </w:pPr>
      <w:rPr>
        <w:rFonts w:ascii="Symbol" w:hAnsi="Symbol"/>
      </w:rPr>
    </w:lvl>
    <w:lvl w:ilvl="4">
      <w:start w:val="0"/>
      <w:numFmt w:val="bullet"/>
      <w:suff w:val="tab"/>
      <w:lvlText w:val="o"/>
      <w:pPr>
        <w:pBdr/>
        <w:spacing/>
        <w:ind w:left="3600"/>
      </w:pPr>
      <w:rPr>
        <w:rFonts w:ascii="Courier New" w:hAnsi="Courier New"/>
      </w:rPr>
    </w:lvl>
    <w:lvl w:ilvl="5">
      <w:start w:val="0"/>
      <w:numFmt w:val="bullet"/>
      <w:suff w:val="tab"/>
      <w:lvlText w:val=""/>
      <w:pPr>
        <w:pBdr/>
        <w:spacing/>
        <w:ind w:left="4320"/>
      </w:pPr>
      <w:rPr>
        <w:rFonts w:ascii="Wingdings" w:hAnsi="Wingdings"/>
      </w:rPr>
    </w:lvl>
    <w:lvl w:ilvl="6">
      <w:start w:val="0"/>
      <w:numFmt w:val="bullet"/>
      <w:suff w:val="tab"/>
      <w:lvlText w:val=""/>
      <w:pPr>
        <w:pBdr/>
        <w:spacing/>
        <w:ind w:left="5040"/>
      </w:pPr>
      <w:rPr>
        <w:rFonts w:ascii="Symbol" w:hAnsi="Symbol"/>
      </w:rPr>
    </w:lvl>
    <w:lvl w:ilvl="7">
      <w:start w:val="0"/>
      <w:numFmt w:val="bullet"/>
      <w:suff w:val="tab"/>
      <w:lvlText w:val="o"/>
      <w:pPr>
        <w:pBdr/>
        <w:spacing/>
        <w:ind w:left="5760"/>
      </w:pPr>
      <w:rPr>
        <w:rFonts w:ascii="Courier New" w:hAnsi="Courier New"/>
      </w:rPr>
    </w:lvl>
    <w:lvl w:ilvl="8">
      <w:start w:val="0"/>
      <w:numFmt w:val="bullet"/>
      <w:suff w:val="tab"/>
      <w:lvlText w:val=""/>
      <w:pPr>
        <w:pBdr/>
        <w:spacing/>
        <w:ind w:left="6480"/>
      </w:pPr>
      <w:rPr>
        <w:rFonts w:ascii="Wingdings" w:hAnsi="Wingdings"/>
      </w:rPr>
    </w:lvl>
  </w:abstractNum>
  <w:abstractNum w:abstractNumId="6">
    <w:nsid w:val="32380661"/>
    <w:lvl w:ilvl="0">
      <w:start w:val="0"/>
      <w:numFmt w:val="bullet"/>
      <w:suff w:val="tab"/>
      <w:lvlText w:val=""/>
      <w:pPr>
        <w:pBdr/>
        <w:spacing/>
        <w:ind w:left="720" w:hanging="360"/>
      </w:pPr>
      <w:rPr>
        <w:rFonts w:ascii="Symbol" w:hAnsi="Symbol"/>
        <w:sz w:val="20"/>
      </w:rPr>
    </w:lvl>
    <w:lvl w:ilvl="1">
      <w:start w:val="0"/>
      <w:numFmt w:val="bullet"/>
      <w:suff w:val="tab"/>
      <w:lvlText w:val="o"/>
      <w:pPr>
        <w:pBdr/>
        <w:spacing/>
        <w:ind w:left="1440"/>
      </w:pPr>
      <w:rPr>
        <w:rFonts w:ascii="Courier New" w:hAnsi="Courier New"/>
      </w:rPr>
    </w:lvl>
    <w:lvl w:ilvl="2">
      <w:start w:val="0"/>
      <w:numFmt w:val="bullet"/>
      <w:suff w:val="tab"/>
      <w:lvlText w:val=""/>
      <w:pPr>
        <w:pBdr/>
        <w:spacing/>
        <w:ind w:left="2160"/>
      </w:pPr>
      <w:rPr>
        <w:rFonts w:ascii="Wingdings" w:hAnsi="Wingdings"/>
      </w:rPr>
    </w:lvl>
    <w:lvl w:ilvl="3">
      <w:start w:val="0"/>
      <w:numFmt w:val="bullet"/>
      <w:suff w:val="tab"/>
      <w:lvlText w:val=""/>
      <w:pPr>
        <w:pBdr/>
        <w:spacing/>
        <w:ind w:left="2880"/>
      </w:pPr>
      <w:rPr>
        <w:rFonts w:ascii="Symbol" w:hAnsi="Symbol"/>
      </w:rPr>
    </w:lvl>
    <w:lvl w:ilvl="4">
      <w:start w:val="0"/>
      <w:numFmt w:val="bullet"/>
      <w:suff w:val="tab"/>
      <w:lvlText w:val="o"/>
      <w:pPr>
        <w:pBdr/>
        <w:spacing/>
        <w:ind w:left="3600"/>
      </w:pPr>
      <w:rPr>
        <w:rFonts w:ascii="Courier New" w:hAnsi="Courier New"/>
      </w:rPr>
    </w:lvl>
    <w:lvl w:ilvl="5">
      <w:start w:val="0"/>
      <w:numFmt w:val="bullet"/>
      <w:suff w:val="tab"/>
      <w:lvlText w:val=""/>
      <w:pPr>
        <w:pBdr/>
        <w:spacing/>
        <w:ind w:left="4320"/>
      </w:pPr>
      <w:rPr>
        <w:rFonts w:ascii="Wingdings" w:hAnsi="Wingdings"/>
      </w:rPr>
    </w:lvl>
    <w:lvl w:ilvl="6">
      <w:start w:val="0"/>
      <w:numFmt w:val="bullet"/>
      <w:suff w:val="tab"/>
      <w:lvlText w:val=""/>
      <w:pPr>
        <w:pBdr/>
        <w:spacing/>
        <w:ind w:left="5040"/>
      </w:pPr>
      <w:rPr>
        <w:rFonts w:ascii="Symbol" w:hAnsi="Symbol"/>
      </w:rPr>
    </w:lvl>
    <w:lvl w:ilvl="7">
      <w:start w:val="0"/>
      <w:numFmt w:val="bullet"/>
      <w:suff w:val="tab"/>
      <w:lvlText w:val="o"/>
      <w:pPr>
        <w:pBdr/>
        <w:spacing/>
        <w:ind w:left="5760"/>
      </w:pPr>
      <w:rPr>
        <w:rFonts w:ascii="Courier New" w:hAnsi="Courier New"/>
      </w:rPr>
    </w:lvl>
    <w:lvl w:ilvl="8">
      <w:start w:val="0"/>
      <w:numFmt w:val="bullet"/>
      <w:suff w:val="tab"/>
      <w:lvlText w:val=""/>
      <w:pPr>
        <w:pBdr/>
        <w:spacing/>
        <w:ind w:left="6480"/>
      </w:pPr>
      <w:rPr>
        <w:rFonts w:ascii="Wingdings" w:hAnsi="Wingdings"/>
      </w:rPr>
    </w:lvl>
  </w:abstractNum>
  <w:abstractNum w:abstractNumId="7">
    <w:nsid w:val="3FA23C4C"/>
    <w:lvl w:ilvl="0">
      <w:start w:val="0"/>
      <w:numFmt w:val="bullet"/>
      <w:suff w:val="tab"/>
      <w:lvlText w:val=""/>
      <w:pPr>
        <w:pBdr/>
        <w:spacing/>
        <w:ind w:left="720" w:hanging="360"/>
      </w:pPr>
      <w:rPr>
        <w:rFonts w:ascii="Symbol" w:hAnsi="Symbol"/>
        <w:sz w:val="20"/>
      </w:rPr>
    </w:lvl>
    <w:lvl w:ilvl="1">
      <w:start w:val="0"/>
      <w:numFmt w:val="bullet"/>
      <w:suff w:val="tab"/>
      <w:lvlText w:val="o"/>
      <w:pPr>
        <w:pBdr/>
        <w:spacing/>
        <w:ind w:left="1440"/>
      </w:pPr>
      <w:rPr>
        <w:rFonts w:ascii="Courier New" w:hAnsi="Courier New"/>
      </w:rPr>
    </w:lvl>
    <w:lvl w:ilvl="2">
      <w:start w:val="0"/>
      <w:numFmt w:val="bullet"/>
      <w:suff w:val="tab"/>
      <w:lvlText w:val=""/>
      <w:pPr>
        <w:pBdr/>
        <w:spacing/>
        <w:ind w:left="2160"/>
      </w:pPr>
      <w:rPr>
        <w:rFonts w:ascii="Wingdings" w:hAnsi="Wingdings"/>
      </w:rPr>
    </w:lvl>
    <w:lvl w:ilvl="3">
      <w:start w:val="0"/>
      <w:numFmt w:val="bullet"/>
      <w:suff w:val="tab"/>
      <w:lvlText w:val=""/>
      <w:pPr>
        <w:pBdr/>
        <w:spacing/>
        <w:ind w:left="2880"/>
      </w:pPr>
      <w:rPr>
        <w:rFonts w:ascii="Symbol" w:hAnsi="Symbol"/>
      </w:rPr>
    </w:lvl>
    <w:lvl w:ilvl="4">
      <w:start w:val="0"/>
      <w:numFmt w:val="bullet"/>
      <w:suff w:val="tab"/>
      <w:lvlText w:val="o"/>
      <w:pPr>
        <w:pBdr/>
        <w:spacing/>
        <w:ind w:left="3600"/>
      </w:pPr>
      <w:rPr>
        <w:rFonts w:ascii="Courier New" w:hAnsi="Courier New"/>
      </w:rPr>
    </w:lvl>
    <w:lvl w:ilvl="5">
      <w:start w:val="0"/>
      <w:numFmt w:val="bullet"/>
      <w:suff w:val="tab"/>
      <w:lvlText w:val=""/>
      <w:pPr>
        <w:pBdr/>
        <w:spacing/>
        <w:ind w:left="4320"/>
      </w:pPr>
      <w:rPr>
        <w:rFonts w:ascii="Wingdings" w:hAnsi="Wingdings"/>
      </w:rPr>
    </w:lvl>
    <w:lvl w:ilvl="6">
      <w:start w:val="0"/>
      <w:numFmt w:val="bullet"/>
      <w:suff w:val="tab"/>
      <w:lvlText w:val=""/>
      <w:pPr>
        <w:pBdr/>
        <w:spacing/>
        <w:ind w:left="5040"/>
      </w:pPr>
      <w:rPr>
        <w:rFonts w:ascii="Symbol" w:hAnsi="Symbol"/>
      </w:rPr>
    </w:lvl>
    <w:lvl w:ilvl="7">
      <w:start w:val="0"/>
      <w:numFmt w:val="bullet"/>
      <w:suff w:val="tab"/>
      <w:lvlText w:val="o"/>
      <w:pPr>
        <w:pBdr/>
        <w:spacing/>
        <w:ind w:left="5760"/>
      </w:pPr>
      <w:rPr>
        <w:rFonts w:ascii="Courier New" w:hAnsi="Courier New"/>
      </w:rPr>
    </w:lvl>
    <w:lvl w:ilvl="8">
      <w:start w:val="0"/>
      <w:numFmt w:val="bullet"/>
      <w:suff w:val="tab"/>
      <w:lvlText w:val=""/>
      <w:pPr>
        <w:pBdr/>
        <w:spacing/>
        <w:ind w:left="6480"/>
      </w:pPr>
      <w:rPr>
        <w:rFonts w:ascii="Wingdings" w:hAnsi="Wingdings"/>
      </w:rPr>
    </w:lvl>
  </w:abstractNum>
  <w:abstractNum w:abstractNumId="8">
    <w:nsid w:val="689E9F48"/>
    <w:lvl w:ilvl="0">
      <w:start w:val="0"/>
      <w:numFmt w:val="bullet"/>
      <w:suff w:val="tab"/>
      <w:lvlText w:val=""/>
      <w:pPr>
        <w:pBdr/>
        <w:spacing/>
        <w:ind w:left="720" w:hanging="360"/>
      </w:pPr>
      <w:rPr>
        <w:rFonts w:ascii="Symbol" w:hAnsi="Symbol"/>
        <w:sz w:val="20"/>
      </w:rPr>
    </w:lvl>
    <w:lvl w:ilvl="1">
      <w:start w:val="0"/>
      <w:numFmt w:val="bullet"/>
      <w:suff w:val="tab"/>
      <w:lvlText w:val="o"/>
      <w:pPr>
        <w:pBdr/>
        <w:spacing/>
        <w:ind w:left="1440"/>
      </w:pPr>
      <w:rPr>
        <w:rFonts w:ascii="Courier New" w:hAnsi="Courier New"/>
      </w:rPr>
    </w:lvl>
    <w:lvl w:ilvl="2">
      <w:start w:val="0"/>
      <w:numFmt w:val="bullet"/>
      <w:suff w:val="tab"/>
      <w:lvlText w:val=""/>
      <w:pPr>
        <w:pBdr/>
        <w:spacing/>
        <w:ind w:left="2160"/>
      </w:pPr>
      <w:rPr>
        <w:rFonts w:ascii="Wingdings" w:hAnsi="Wingdings"/>
      </w:rPr>
    </w:lvl>
    <w:lvl w:ilvl="3">
      <w:start w:val="0"/>
      <w:numFmt w:val="bullet"/>
      <w:suff w:val="tab"/>
      <w:lvlText w:val=""/>
      <w:pPr>
        <w:pBdr/>
        <w:spacing/>
        <w:ind w:left="2880"/>
      </w:pPr>
      <w:rPr>
        <w:rFonts w:ascii="Symbol" w:hAnsi="Symbol"/>
      </w:rPr>
    </w:lvl>
    <w:lvl w:ilvl="4">
      <w:start w:val="0"/>
      <w:numFmt w:val="bullet"/>
      <w:suff w:val="tab"/>
      <w:lvlText w:val="o"/>
      <w:pPr>
        <w:pBdr/>
        <w:spacing/>
        <w:ind w:left="3600"/>
      </w:pPr>
      <w:rPr>
        <w:rFonts w:ascii="Courier New" w:hAnsi="Courier New"/>
      </w:rPr>
    </w:lvl>
    <w:lvl w:ilvl="5">
      <w:start w:val="0"/>
      <w:numFmt w:val="bullet"/>
      <w:suff w:val="tab"/>
      <w:lvlText w:val=""/>
      <w:pPr>
        <w:pBdr/>
        <w:spacing/>
        <w:ind w:left="4320"/>
      </w:pPr>
      <w:rPr>
        <w:rFonts w:ascii="Wingdings" w:hAnsi="Wingdings"/>
      </w:rPr>
    </w:lvl>
    <w:lvl w:ilvl="6">
      <w:start w:val="0"/>
      <w:numFmt w:val="bullet"/>
      <w:suff w:val="tab"/>
      <w:lvlText w:val=""/>
      <w:pPr>
        <w:pBdr/>
        <w:spacing/>
        <w:ind w:left="5040"/>
      </w:pPr>
      <w:rPr>
        <w:rFonts w:ascii="Symbol" w:hAnsi="Symbol"/>
      </w:rPr>
    </w:lvl>
    <w:lvl w:ilvl="7">
      <w:start w:val="0"/>
      <w:numFmt w:val="bullet"/>
      <w:suff w:val="tab"/>
      <w:lvlText w:val="o"/>
      <w:pPr>
        <w:pBdr/>
        <w:spacing/>
        <w:ind w:left="5760"/>
      </w:pPr>
      <w:rPr>
        <w:rFonts w:ascii="Courier New" w:hAnsi="Courier New"/>
      </w:rPr>
    </w:lvl>
    <w:lvl w:ilvl="8">
      <w:start w:val="0"/>
      <w:numFmt w:val="bullet"/>
      <w:suff w:val="tab"/>
      <w:lvlText w:val=""/>
      <w:pPr>
        <w:pBdr/>
        <w:spacing/>
        <w:ind w:left="648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14="http://schemas.microsoft.com/office/word/2010/wordml" xmlns:w15="http://schemas.microsoft.com/office/word/2012/wordml" xmlns:sl="http://schemas.openxmlformats.org/schemaLibrary/2006/main" xmlns:w="http://schemas.openxmlformats.org/wordprocessingml/2006/main" mc:Ignorable="w14 w15">
  <w:documentProtection w:cryptProviderType="rsaAES" w:cryptAlgorithmClass="hash" w:cryptAlgorithmType="typeAny" w:cryptAlgorithmSid="14" w:cryptSpinCount="100000"/>
  <w:zoom w:val="none" w:percent="100"/>
  <w:displayBackgroundShape/>
  <w:defaultTabStop w:val="720"/>
  <w:compat>
    <w:compatSetting w:name="compatibilityMode" w:uri="http://schemas.microsoft.com/office/word" w:val="15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hAnsi="Calibri" w:cs="Calibri"/>
        <w:b w:val="0"/>
        <w:i w:val="0"/>
        <w:caps w:val="0"/>
        <w:strike w:val="0"/>
        <w:dstrike w:val="0"/>
        <w:sz w:val="22"/>
        <w:szCs w:val="22"/>
        <w:u w:val="none"/>
        <w:vertAlign w:val="baseline"/>
      </w:rPr>
    </w:rPrDefault>
    <w:pPrDefault>
      <w:pPr>
        <w:pBdr/>
        <w:keepNext w:val="0"/>
        <w:keepLines w:val="0"/>
        <w:outlineLvl w:val="9"/>
        <w:spacing w:before="0" w:after="0" w:line="240" w:lineRule="auto"/>
        <w:widowControl w:val="1"/>
        <w:ind w:left="0" w:right="0" w:firstLine="0"/>
        <w:jc w:val="left"/>
      </w:pPr>
    </w:pPrDefault>
  </w:docDefaults>
  <w:style w:type="paragraph" w:styleId="Normal">
    <w:name w:val="Normal"/>
    <w:next w:val="Normal"/>
    <w:pPr>
      <w:pBdr/>
      <w:spacing/>
      <w:ind/>
    </w:pPr>
    <w:rPr/>
  </w:style>
  <w:style w:type="paragraph" w:styleId="Heading 1">
    <w:name w:val="Heading 1"/>
    <w:basedOn w:val="Normal"/>
    <w:next w:val="Normal"/>
    <w:link w:val="Heading 1 Char"/>
    <w:pPr>
      <w:pBdr/>
      <w:outlineLvl w:val="0"/>
      <w:spacing w:before="240" w:after="0" w:line="259" w:lineRule="auto"/>
      <w:ind w:left="0" w:right="0" w:firstLine="0"/>
      <w:jc w:val="left"/>
    </w:pPr>
    <w:rPr>
      <w:rFonts w:ascii="Calibri Light" w:hAnsi="Calibri Light"/>
      <w:color w:val="2F5496"/>
      <w:sz w:val="32"/>
    </w:rPr>
  </w:style>
  <w:style w:type="character" w:styleId="Heading 1 Char">
    <w:name w:val="Heading 1 Char"/>
    <w:basedOn w:val="Default Paragraph Font"/>
    <w:rPr>
      <w:rFonts w:ascii="Calibri Light" w:hAnsi="Calibri Light"/>
      <w:color w:val="2F5496"/>
      <w:sz w:val="32"/>
    </w:rPr>
  </w:style>
  <w:style w:type="character" w:styleId="Default Paragraph Font">
    <w:name w:val="Default Paragraph Font"/>
    <w:rPr/>
  </w:style>
  <w:style w:type="paragraph" w:styleId="Heading 2">
    <w:name w:val="Heading 2"/>
    <w:basedOn w:val="Normal"/>
    <w:next w:val="Normal"/>
    <w:link w:val="Heading 2 Char"/>
    <w:pPr>
      <w:pBdr/>
      <w:outlineLvl w:val="1"/>
      <w:spacing w:before="40" w:after="0" w:line="259" w:lineRule="auto"/>
      <w:ind w:left="0" w:right="0" w:firstLine="0"/>
      <w:jc w:val="left"/>
    </w:pPr>
    <w:rPr>
      <w:rFonts w:ascii="Calibri Light" w:hAnsi="Calibri Light"/>
      <w:color w:val="2F5496"/>
      <w:sz w:val="26"/>
    </w:rPr>
  </w:style>
  <w:style w:type="character" w:styleId="Heading 2 Char">
    <w:name w:val="Heading 2 Char"/>
    <w:basedOn w:val="Default Paragraph Font"/>
    <w:rPr>
      <w:rFonts w:ascii="Calibri Light" w:hAnsi="Calibri Light"/>
      <w:color w:val="2F5496"/>
      <w:sz w:val="26"/>
    </w:rPr>
  </w:style>
  <w:style w:type="paragraph" w:styleId="Heading 3">
    <w:name w:val="Heading 3"/>
    <w:basedOn w:val="Normal"/>
    <w:next w:val="Normal"/>
    <w:link w:val="Heading 3 Char"/>
    <w:pPr>
      <w:pBdr/>
      <w:outlineLvl w:val="2"/>
      <w:spacing w:before="40" w:after="0" w:line="259" w:lineRule="auto"/>
      <w:ind w:left="0" w:right="0" w:firstLine="0"/>
      <w:jc w:val="left"/>
    </w:pPr>
    <w:rPr>
      <w:rFonts w:ascii="Calibri Light" w:hAnsi="Calibri Light"/>
      <w:color w:val="1F3763"/>
      <w:sz w:val="24"/>
    </w:rPr>
  </w:style>
  <w:style w:type="character" w:styleId="Heading 3 Char">
    <w:name w:val="Heading 3 Char"/>
    <w:basedOn w:val="Default Paragraph Font"/>
    <w:rPr>
      <w:rFonts w:ascii="Calibri Light" w:hAnsi="Calibri Light"/>
      <w:color w:val="1F3763"/>
      <w:sz w:val="24"/>
    </w:rPr>
  </w:style>
  <w:style w:type="paragraph" w:styleId="Heading 4">
    <w:name w:val="Heading 4"/>
    <w:basedOn w:val="Normal"/>
    <w:next w:val="Normal"/>
    <w:link w:val="Heading 4 Char"/>
    <w:pPr>
      <w:pBdr/>
      <w:outlineLvl w:val="3"/>
      <w:spacing w:before="40" w:after="0" w:line="259" w:lineRule="auto"/>
      <w:ind w:left="0" w:right="0" w:firstLine="0"/>
      <w:jc w:val="left"/>
    </w:pPr>
    <w:rPr>
      <w:rFonts w:ascii="Calibri Light" w:hAnsi="Calibri Light"/>
      <w:i/>
      <w:color w:val="2F5496"/>
    </w:rPr>
  </w:style>
  <w:style w:type="character" w:styleId="Heading 4 Char">
    <w:name w:val="Heading 4 Char"/>
    <w:basedOn w:val="Default Paragraph Font"/>
    <w:rPr>
      <w:rFonts w:ascii="Calibri Light" w:hAnsi="Calibri Light"/>
      <w:i/>
      <w:color w:val="2F5496"/>
    </w:rPr>
  </w:style>
  <w:style w:type="paragraph" w:styleId="Heading 5">
    <w:name w:val="Heading 5"/>
    <w:basedOn w:val="Normal"/>
    <w:next w:val="Normal"/>
    <w:link w:val="Heading 5 Char"/>
    <w:pPr>
      <w:pBdr/>
      <w:outlineLvl w:val="4"/>
      <w:spacing w:before="40" w:after="0" w:line="259" w:lineRule="auto"/>
      <w:ind w:left="0" w:right="0" w:firstLine="0"/>
      <w:jc w:val="left"/>
    </w:pPr>
    <w:rPr>
      <w:rFonts w:ascii="Calibri Light" w:hAnsi="Calibri Light"/>
      <w:color w:val="2F5496"/>
    </w:rPr>
  </w:style>
  <w:style w:type="character" w:styleId="Heading 5 Char">
    <w:name w:val="Heading 5 Char"/>
    <w:basedOn w:val="Default Paragraph Font"/>
    <w:rPr>
      <w:rFonts w:ascii="Calibri Light" w:hAnsi="Calibri Light"/>
      <w:color w:val="2F5496"/>
    </w:rPr>
  </w:style>
  <w:style w:type="paragraph" w:styleId="Heading 6">
    <w:name w:val="Heading 6"/>
    <w:basedOn w:val="Normal"/>
    <w:next w:val="Normal"/>
    <w:link w:val="Heading 6 Char"/>
    <w:pPr>
      <w:pBdr/>
      <w:outlineLvl w:val="5"/>
      <w:spacing w:before="40" w:after="0" w:line="259" w:lineRule="auto"/>
      <w:ind w:left="0" w:right="0" w:firstLine="0"/>
      <w:jc w:val="left"/>
    </w:pPr>
    <w:rPr>
      <w:rFonts w:ascii="Calibri Light" w:hAnsi="Calibri Light"/>
      <w:color w:val="1F3763"/>
    </w:rPr>
  </w:style>
  <w:style w:type="character" w:styleId="Heading 6 Char">
    <w:name w:val="Heading 6 Char"/>
    <w:basedOn w:val="Default Paragraph Font"/>
    <w:rPr>
      <w:rFonts w:ascii="Calibri Light" w:hAnsi="Calibri Light"/>
      <w:color w:val="1F3763"/>
    </w:rPr>
  </w:style>
  <w:style w:type="paragraph" w:styleId="Heading 7">
    <w:name w:val="Heading 7"/>
    <w:basedOn w:val="Normal"/>
    <w:next w:val="Normal"/>
    <w:link w:val="Heading 7 Char"/>
    <w:pPr>
      <w:pBdr/>
      <w:outlineLvl w:val="6"/>
      <w:spacing w:before="40" w:after="0" w:line="259" w:lineRule="auto"/>
      <w:ind w:left="0" w:right="0" w:firstLine="0"/>
      <w:jc w:val="left"/>
    </w:pPr>
    <w:rPr>
      <w:rFonts w:ascii="Calibri Light" w:hAnsi="Calibri Light"/>
      <w:i/>
      <w:color w:val="1F3763"/>
    </w:rPr>
  </w:style>
  <w:style w:type="character" w:styleId="Heading 7 Char">
    <w:name w:val="Heading 7 Char"/>
    <w:basedOn w:val="Default Paragraph Font"/>
    <w:rPr>
      <w:rFonts w:ascii="Calibri Light" w:hAnsi="Calibri Light"/>
      <w:i/>
      <w:color w:val="1F3763"/>
    </w:rPr>
  </w:style>
  <w:style w:type="paragraph" w:styleId="Heading 8">
    <w:name w:val="Heading 8"/>
    <w:basedOn w:val="Normal"/>
    <w:next w:val="Normal"/>
    <w:link w:val="Heading 8 Char"/>
    <w:pPr>
      <w:pBdr/>
      <w:outlineLvl w:val="7"/>
      <w:spacing w:before="40" w:after="0" w:line="259" w:lineRule="auto"/>
      <w:ind w:left="0" w:right="0" w:firstLine="0"/>
      <w:jc w:val="left"/>
    </w:pPr>
    <w:rPr>
      <w:rFonts w:ascii="Calibri Light" w:hAnsi="Calibri Light"/>
      <w:color w:val="333333"/>
      <w:sz w:val="21"/>
    </w:rPr>
  </w:style>
  <w:style w:type="character" w:styleId="Heading 8 Char">
    <w:name w:val="Heading 8 Char"/>
    <w:basedOn w:val="Default Paragraph Font"/>
    <w:rPr>
      <w:rFonts w:ascii="Calibri Light" w:hAnsi="Calibri Light"/>
      <w:color w:val="333333"/>
      <w:sz w:val="21"/>
    </w:rPr>
  </w:style>
  <w:style w:type="paragraph" w:styleId="Heading 9">
    <w:name w:val="Heading 9"/>
    <w:basedOn w:val="Normal"/>
    <w:next w:val="Normal"/>
    <w:link w:val="Heading 9 Char"/>
    <w:pPr>
      <w:pBdr/>
      <w:outlineLvl w:val="8"/>
      <w:spacing w:before="40" w:after="0" w:line="259" w:lineRule="auto"/>
      <w:ind w:left="0" w:right="0" w:firstLine="0"/>
      <w:jc w:val="left"/>
    </w:pPr>
    <w:rPr>
      <w:rFonts w:ascii="Calibri Light" w:hAnsi="Calibri Light"/>
      <w:i/>
      <w:color w:val="333333"/>
      <w:sz w:val="21"/>
    </w:rPr>
  </w:style>
  <w:style w:type="character" w:styleId="Heading 9 Char">
    <w:name w:val="Heading 9 Char"/>
    <w:basedOn w:val="Default Paragraph Font"/>
    <w:rPr>
      <w:rFonts w:ascii="Calibri Light" w:hAnsi="Calibri Light"/>
      <w:i/>
      <w:color w:val="333333"/>
      <w:sz w:val="21"/>
    </w:rPr>
  </w:style>
  <w:style w:type="paragraph" w:styleId="Header">
    <w:name w:val="Header"/>
    <w:basedOn w:val="Normal"/>
    <w:next w:val="Header"/>
    <w:pPr>
      <w:pBdr/>
      <w:spacing w:after="0" w:line="240" w:lineRule="auto"/>
      <w:ind/>
    </w:pPr>
    <w:rPr/>
  </w:style>
  <w:style w:type="paragraph" w:styleId="Footer">
    <w:name w:val="Footer"/>
    <w:basedOn w:val="Normal"/>
    <w:next w:val="Footer"/>
    <w:pPr>
      <w:pBdr/>
      <w:spacing w:after="0" w:line="240" w:lineRule="auto"/>
      <w:ind/>
    </w:pPr>
    <w:rPr/>
  </w:style>
  <w:style w:type="paragraph" w:styleId="Normal (Web)">
    <w:name w:val="Normal (Web)"/>
    <w:basedOn w:val="Normal"/>
    <w:next w:val="Normal (Web)"/>
    <w:pPr>
      <w:pBdr/>
      <w:spacing w:before="100" w:beforeAutospacing="true" w:after="100" w:afterAutospacing="true"/>
      <w:ind/>
    </w:pPr>
    <w:r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numbering" Target="numbering.xml" /></Relationships>
</file>